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120"/>
      </w:pPr>
      <w:r>
        <w:rPr>
          <w:b/>
          <w:color w:val="167565"/>
          <w:sz w:val="22"/>
        </w:rPr>
        <w:t>HR VECTOR</w:t>
      </w:r>
    </w:p>
    <w:p>
      <w:pPr>
        <w:pStyle w:val="Title"/>
      </w:pPr>
      <w:r>
        <w:t>Системний рекрутинг</w:t>
      </w:r>
    </w:p>
    <w:p>
      <w:pPr>
        <w:pStyle w:val="Subtitle"/>
      </w:pPr>
      <w:r>
        <w:t>Програма побудови воронки найму, стратегія каналів і чек-лист вакансії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w="100" w:type="dxa"/>
              <w:start w:w="120" w:type="dxa"/>
              <w:bottom w:w="100" w:type="dxa"/>
              <w:end w:w="120" w:type="dxa"/>
            </w:tcMar>
            <w:shd w:fill="EEF3FF"/>
            <w:vAlign w:val="center"/>
          </w:tcPr>
          <w:p>
            <w:pPr>
              <w:spacing w:after="40"/>
            </w:pPr>
            <w:r>
              <w:rPr>
                <w:b/>
                <w:color w:val="265FE8"/>
                <w:sz w:val="16"/>
              </w:rPr>
              <w:t>ФОРМАТ</w:t>
              <w:br/>
            </w:r>
            <w:r>
              <w:rPr>
                <w:b/>
                <w:sz w:val="20"/>
              </w:rPr>
              <w:t>Практична програма</w:t>
            </w:r>
          </w:p>
        </w:tc>
        <w:tc>
          <w:tcPr>
            <w:tcW w:type="dxa" w:w="3120"/>
            <w:tcMar>
              <w:top w:w="100" w:type="dxa"/>
              <w:start w:w="120" w:type="dxa"/>
              <w:bottom w:w="100" w:type="dxa"/>
              <w:end w:w="120" w:type="dxa"/>
            </w:tcMar>
            <w:shd w:fill="EEF3FF"/>
            <w:vAlign w:val="center"/>
          </w:tcPr>
          <w:p>
            <w:pPr>
              <w:spacing w:after="40"/>
            </w:pPr>
            <w:r>
              <w:rPr>
                <w:b/>
                <w:color w:val="265FE8"/>
                <w:sz w:val="16"/>
              </w:rPr>
              <w:t>ГОРИЗОНТ</w:t>
              <w:br/>
            </w:r>
            <w:r>
              <w:rPr>
                <w:b/>
                <w:sz w:val="20"/>
              </w:rPr>
              <w:t>90 днів</w:t>
            </w:r>
          </w:p>
        </w:tc>
        <w:tc>
          <w:tcPr>
            <w:tcW w:type="dxa" w:w="3120"/>
            <w:tcMar>
              <w:top w:w="100" w:type="dxa"/>
              <w:start w:w="120" w:type="dxa"/>
              <w:bottom w:w="100" w:type="dxa"/>
              <w:end w:w="120" w:type="dxa"/>
            </w:tcMar>
            <w:shd w:fill="EEF3FF"/>
            <w:vAlign w:val="center"/>
          </w:tcPr>
          <w:p>
            <w:pPr>
              <w:spacing w:after="40"/>
            </w:pPr>
            <w:r>
              <w:rPr>
                <w:b/>
                <w:color w:val="265FE8"/>
                <w:sz w:val="16"/>
              </w:rPr>
              <w:t>ДЛЯ КОГО</w:t>
              <w:br/>
            </w:r>
            <w:r>
              <w:rPr>
                <w:b/>
                <w:sz w:val="20"/>
              </w:rPr>
              <w:t>Власник · CEO · HR</w:t>
            </w:r>
          </w:p>
        </w:tc>
      </w:tr>
    </w:tbl>
    <w:p>
      <w:pPr>
        <w:pStyle w:val="Heading1"/>
      </w:pPr>
      <w:r>
        <w:t>Мета програми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shd w:fill="F4F6F9"/>
          </w:tcPr>
          <w:p>
            <w:pPr>
              <w:spacing w:after="0"/>
            </w:pPr>
            <w:r>
              <w:rPr>
                <w:b/>
                <w:color w:val="167565"/>
              </w:rPr>
              <w:t>Бізнес-результат</w:t>
              <w:br/>
            </w:r>
            <w:r>
              <w:t>Побудувати прогнозований процес залучення працівників із чіткими вимогами, швидкою воронкою, якісною оцінкою та контрольованою вартістю.</w:t>
            </w:r>
          </w:p>
        </w:tc>
      </w:tr>
    </w:tbl>
    <w:p>
      <w:pPr>
        <w:pStyle w:val="Heading1"/>
      </w:pPr>
      <w:r>
        <w:t>Що отримує клієнт</w:t>
      </w:r>
    </w:p>
    <w:p>
      <w:pPr>
        <w:spacing w:after="80" w:line="300" w:lineRule="auto"/>
        <w:numPr>
          <w:ilvl w:val="0"/>
          <w:numId w:val="10"/>
        </w:numPr>
      </w:pPr>
      <w:r>
        <w:t>Профіль вакансії та критерії оцінювання</w:t>
      </w:r>
    </w:p>
    <w:p>
      <w:pPr>
        <w:spacing w:after="80" w:line="300" w:lineRule="auto"/>
        <w:numPr>
          <w:ilvl w:val="0"/>
          <w:numId w:val="10"/>
        </w:numPr>
      </w:pPr>
      <w:r>
        <w:t>Стратегія каналів і комунікацій</w:t>
      </w:r>
    </w:p>
    <w:p>
      <w:pPr>
        <w:spacing w:after="80" w:line="300" w:lineRule="auto"/>
        <w:numPr>
          <w:ilvl w:val="0"/>
          <w:numId w:val="10"/>
        </w:numPr>
      </w:pPr>
      <w:r>
        <w:t>Воронка рекрутингу та SLA</w:t>
      </w:r>
    </w:p>
    <w:p>
      <w:pPr>
        <w:spacing w:after="80" w:line="300" w:lineRule="auto"/>
        <w:numPr>
          <w:ilvl w:val="0"/>
          <w:numId w:val="10"/>
        </w:numPr>
      </w:pPr>
      <w:r>
        <w:t>Шаблони інтерв’ю, оцінки й рішення</w:t>
      </w:r>
    </w:p>
    <w:p>
      <w:pPr>
        <w:spacing w:after="80" w:line="300" w:lineRule="auto"/>
        <w:numPr>
          <w:ilvl w:val="0"/>
          <w:numId w:val="10"/>
        </w:numPr>
      </w:pPr>
      <w:r>
        <w:t>Аналітика якості та вартості найму</w:t>
      </w:r>
    </w:p>
    <w:p>
      <w:pPr>
        <w:pStyle w:val="Heading1"/>
      </w:pPr>
      <w:r>
        <w:t>Програма робіт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200"/>
        <w:gridCol w:w="5600"/>
        <w:gridCol w:w="1560"/>
      </w:tblGrid>
      <w:tr>
        <w:tc>
          <w:tcPr>
            <w:tcW w:type="dxa" w:w="2200"/>
            <w:tcMar>
              <w:top w:w="100" w:type="dxa"/>
              <w:start w:w="120" w:type="dxa"/>
              <w:bottom w:w="100" w:type="dxa"/>
              <w:end w:w="120" w:type="dxa"/>
            </w:tcMar>
            <w:shd w:fill="265FE8"/>
          </w:tcPr>
          <w:p>
            <w:r>
              <w:rPr>
                <w:b/>
                <w:color w:val="FFFFFF"/>
              </w:rPr>
              <w:t>Етап</w:t>
            </w:r>
          </w:p>
        </w:tc>
        <w:tc>
          <w:tcPr>
            <w:tcW w:type="dxa" w:w="5600"/>
            <w:tcMar>
              <w:top w:w="100" w:type="dxa"/>
              <w:start w:w="120" w:type="dxa"/>
              <w:bottom w:w="100" w:type="dxa"/>
              <w:end w:w="120" w:type="dxa"/>
            </w:tcMar>
            <w:shd w:fill="265FE8"/>
          </w:tcPr>
          <w:p>
            <w:r>
              <w:rPr>
                <w:b/>
                <w:color w:val="FFFFFF"/>
              </w:rPr>
              <w:t>Зміст</w:t>
            </w:r>
          </w:p>
        </w:tc>
        <w:tc>
          <w:tcPr>
            <w:tcW w:type="dxa" w:w="1560"/>
            <w:tcMar>
              <w:top w:w="100" w:type="dxa"/>
              <w:start w:w="120" w:type="dxa"/>
              <w:bottom w:w="100" w:type="dxa"/>
              <w:end w:w="120" w:type="dxa"/>
            </w:tcMar>
            <w:shd w:fill="265FE8"/>
          </w:tcPr>
          <w:p>
            <w:r>
              <w:rPr>
                <w:b/>
                <w:color w:val="FFFFFF"/>
              </w:rPr>
              <w:t>Тривалість</w:t>
            </w:r>
          </w:p>
        </w:tc>
      </w:tr>
      <w:t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1. Планування потреби</w:t>
            </w:r>
          </w:p>
        </w:tc>
        <w:tc>
          <w:tcPr>
            <w:tcW w:type="dxa" w:w="5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Причина найму, результат ролі, бюджет і строк</w:t>
            </w:r>
          </w:p>
        </w:tc>
        <w:tc>
          <w:tcPr>
            <w:tcW w:type="dxa" w:w="15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1–2 дні</w:t>
            </w:r>
          </w:p>
        </w:tc>
      </w:tr>
      <w:t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2. Профіль і вакансія</w:t>
            </w:r>
          </w:p>
        </w:tc>
        <w:tc>
          <w:tcPr>
            <w:tcW w:type="dxa" w:w="5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Вимоги, EVP, текст оголошення та критерії відбору</w:t>
            </w:r>
          </w:p>
        </w:tc>
        <w:tc>
          <w:tcPr>
            <w:tcW w:type="dxa" w:w="15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1–2 дні</w:t>
            </w:r>
          </w:p>
        </w:tc>
      </w:tr>
      <w:t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3. Пошук</w:t>
            </w:r>
          </w:p>
        </w:tc>
        <w:tc>
          <w:tcPr>
            <w:tcW w:type="dxa" w:w="5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Канали, sourcing, база, рекомендації та прямі звернення</w:t>
            </w:r>
          </w:p>
        </w:tc>
        <w:tc>
          <w:tcPr>
            <w:tcW w:type="dxa" w:w="15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1–4 тижні</w:t>
            </w:r>
          </w:p>
        </w:tc>
      </w:tr>
      <w:t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4. Відбір</w:t>
            </w:r>
          </w:p>
        </w:tc>
        <w:tc>
          <w:tcPr>
            <w:tcW w:type="dxa" w:w="5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Скринінг, структуроване інтерв’ю, кейс і рекомендації</w:t>
            </w:r>
          </w:p>
        </w:tc>
        <w:tc>
          <w:tcPr>
            <w:tcW w:type="dxa" w:w="15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3–10 днів</w:t>
            </w:r>
          </w:p>
        </w:tc>
      </w:tr>
      <w:t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5. Офер та адаптація</w:t>
            </w:r>
          </w:p>
        </w:tc>
        <w:tc>
          <w:tcPr>
            <w:tcW w:type="dxa" w:w="5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Рішення, офер, preboarding і контроль випробувального строку</w:t>
            </w:r>
          </w:p>
        </w:tc>
        <w:tc>
          <w:tcPr>
            <w:tcW w:type="dxa" w:w="15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1–3 місяці</w:t>
            </w:r>
          </w:p>
        </w:tc>
      </w:tr>
    </w:tbl>
    <w:p>
      <w:pPr>
        <w:pStyle w:val="Heading1"/>
      </w:pPr>
      <w:r>
        <w:t>Стратегія впровадження</w:t>
      </w:r>
    </w:p>
    <w:p>
      <w:pPr>
        <w:spacing w:after="80" w:line="300" w:lineRule="auto"/>
        <w:numPr>
          <w:ilvl w:val="0"/>
          <w:numId w:val="10"/>
        </w:numPr>
      </w:pPr>
      <w:r>
        <w:t>Визначати результат ролі до написання вакансії.</w:t>
      </w:r>
    </w:p>
    <w:p>
      <w:pPr>
        <w:spacing w:after="80" w:line="300" w:lineRule="auto"/>
        <w:numPr>
          <w:ilvl w:val="0"/>
          <w:numId w:val="10"/>
        </w:numPr>
      </w:pPr>
      <w:r>
        <w:t>Підбирати канали за сегментом кандидатів і даними конверсії.</w:t>
      </w:r>
    </w:p>
    <w:p>
      <w:pPr>
        <w:spacing w:after="80" w:line="300" w:lineRule="auto"/>
        <w:numPr>
          <w:ilvl w:val="0"/>
          <w:numId w:val="10"/>
        </w:numPr>
      </w:pPr>
      <w:r>
        <w:t>Скорочувати паузи між етапами й давати швидкий зворотний зв’язок.</w:t>
      </w:r>
    </w:p>
    <w:p>
      <w:pPr>
        <w:spacing w:after="80" w:line="300" w:lineRule="auto"/>
        <w:numPr>
          <w:ilvl w:val="0"/>
          <w:numId w:val="10"/>
        </w:numPr>
      </w:pPr>
      <w:r>
        <w:t>Оцінювати якість найму після 90 днів, а не лише факт закриття.</w:t>
      </w:r>
    </w:p>
    <w:p>
      <w:pPr>
        <w:pStyle w:val="Heading1"/>
      </w:pPr>
      <w:r>
        <w:t>План перших 90 днів</w:t>
      </w:r>
    </w:p>
    <w:p>
      <w:pPr>
        <w:spacing w:after="120"/>
      </w:pPr>
      <w:r>
        <w:rPr>
          <w:b/>
          <w:color w:val="265FE8"/>
        </w:rPr>
        <w:t xml:space="preserve">0–30 днів: </w:t>
      </w:r>
      <w:r>
        <w:t>Діагностика, узгодження цілей, базових даних, власників і швидких перемог.</w:t>
      </w:r>
    </w:p>
    <w:p>
      <w:pPr>
        <w:spacing w:after="120"/>
      </w:pPr>
      <w:r>
        <w:rPr>
          <w:b/>
          <w:color w:val="265FE8"/>
        </w:rPr>
        <w:t xml:space="preserve">31–60 днів: </w:t>
      </w:r>
      <w:r>
        <w:t>Проєктування рішень, пілотування, навчання керівників і коригування.</w:t>
      </w:r>
    </w:p>
    <w:p>
      <w:pPr>
        <w:spacing w:after="120"/>
      </w:pPr>
      <w:r>
        <w:rPr>
          <w:b/>
          <w:color w:val="265FE8"/>
        </w:rPr>
        <w:t xml:space="preserve">61–90 днів: </w:t>
      </w:r>
      <w:r>
        <w:t>Масштабування, закріплення регламентів, вимірювання результату й наступний цикл.</w:t>
      </w:r>
    </w:p>
    <w:p>
      <w:pPr>
        <w:pStyle w:val="Heading1"/>
      </w:pPr>
      <w:r>
        <w:t>Контрольні показники</w:t>
      </w:r>
    </w:p>
    <w:p>
      <w:pPr>
        <w:spacing w:after="80" w:line="300" w:lineRule="auto"/>
        <w:numPr>
          <w:ilvl w:val="0"/>
          <w:numId w:val="10"/>
        </w:numPr>
      </w:pPr>
      <w:r>
        <w:t>Time to shortlist і time to fill</w:t>
      </w:r>
    </w:p>
    <w:p>
      <w:pPr>
        <w:spacing w:after="80" w:line="300" w:lineRule="auto"/>
        <w:numPr>
          <w:ilvl w:val="0"/>
          <w:numId w:val="10"/>
        </w:numPr>
      </w:pPr>
      <w:r>
        <w:t>Конверсія між етапами</w:t>
      </w:r>
    </w:p>
    <w:p>
      <w:pPr>
        <w:spacing w:after="80" w:line="300" w:lineRule="auto"/>
        <w:numPr>
          <w:ilvl w:val="0"/>
          <w:numId w:val="10"/>
        </w:numPr>
      </w:pPr>
      <w:r>
        <w:t>Вартість найму</w:t>
      </w:r>
    </w:p>
    <w:p>
      <w:pPr>
        <w:spacing w:after="80" w:line="300" w:lineRule="auto"/>
        <w:numPr>
          <w:ilvl w:val="0"/>
          <w:numId w:val="10"/>
        </w:numPr>
      </w:pPr>
      <w:r>
        <w:t>Прийняття оферу</w:t>
      </w:r>
    </w:p>
    <w:p>
      <w:pPr>
        <w:spacing w:after="80" w:line="300" w:lineRule="auto"/>
        <w:numPr>
          <w:ilvl w:val="0"/>
          <w:numId w:val="10"/>
        </w:numPr>
      </w:pPr>
      <w:r>
        <w:t>Вихід у перший робочий день</w:t>
      </w:r>
    </w:p>
    <w:p>
      <w:pPr>
        <w:spacing w:after="80" w:line="300" w:lineRule="auto"/>
        <w:numPr>
          <w:ilvl w:val="0"/>
          <w:numId w:val="10"/>
        </w:numPr>
      </w:pPr>
      <w:r>
        <w:t>Проходження випробувального терміну</w:t>
      </w:r>
    </w:p>
    <w:p>
      <w:pPr>
        <w:spacing w:after="80" w:line="300" w:lineRule="auto"/>
        <w:numPr>
          <w:ilvl w:val="0"/>
          <w:numId w:val="10"/>
        </w:numPr>
      </w:pPr>
      <w:r>
        <w:t>Якість найму через 90 днів</w:t>
      </w:r>
    </w:p>
    <w:p>
      <w:pPr>
        <w:pStyle w:val="Heading1"/>
      </w:pPr>
      <w:r>
        <w:t>Практичний чек-лист</w:t>
      </w:r>
    </w:p>
    <w:p>
      <w:pPr>
        <w:pStyle w:val="Heading2"/>
      </w:pPr>
      <w:r>
        <w:t>Перед публікацією</w:t>
      </w:r>
    </w:p>
    <w:p>
      <w:pPr>
        <w:spacing w:after="80" w:line="300" w:lineRule="auto"/>
        <w:numPr>
          <w:ilvl w:val="0"/>
          <w:numId w:val="11"/>
        </w:numPr>
      </w:pPr>
      <w:r>
        <w:t>Погоджено бізнес-результат ролі</w:t>
      </w:r>
    </w:p>
    <w:p>
      <w:pPr>
        <w:spacing w:after="80" w:line="300" w:lineRule="auto"/>
        <w:numPr>
          <w:ilvl w:val="0"/>
          <w:numId w:val="11"/>
        </w:numPr>
      </w:pPr>
      <w:r>
        <w:t>Визначено обов’язкові й бажані вимоги</w:t>
      </w:r>
    </w:p>
    <w:p>
      <w:pPr>
        <w:spacing w:after="80" w:line="300" w:lineRule="auto"/>
        <w:numPr>
          <w:ilvl w:val="0"/>
          <w:numId w:val="11"/>
        </w:numPr>
      </w:pPr>
      <w:r>
        <w:t>Є зарплатний діапазон</w:t>
      </w:r>
    </w:p>
    <w:p>
      <w:pPr>
        <w:spacing w:after="80" w:line="300" w:lineRule="auto"/>
        <w:numPr>
          <w:ilvl w:val="0"/>
          <w:numId w:val="11"/>
        </w:numPr>
      </w:pPr>
      <w:r>
        <w:t>Текст вакансії зрозумілий і недискримінаційний</w:t>
      </w:r>
    </w:p>
    <w:p>
      <w:pPr>
        <w:pStyle w:val="Heading2"/>
      </w:pPr>
      <w:r>
        <w:t>Воронка</w:t>
      </w:r>
    </w:p>
    <w:p>
      <w:pPr>
        <w:spacing w:after="80" w:line="300" w:lineRule="auto"/>
        <w:numPr>
          <w:ilvl w:val="0"/>
          <w:numId w:val="11"/>
        </w:numPr>
      </w:pPr>
      <w:r>
        <w:t>Є SLA для кожного етапу</w:t>
      </w:r>
    </w:p>
    <w:p>
      <w:pPr>
        <w:spacing w:after="80" w:line="300" w:lineRule="auto"/>
        <w:numPr>
          <w:ilvl w:val="0"/>
          <w:numId w:val="11"/>
        </w:numPr>
      </w:pPr>
      <w:r>
        <w:t>Кандидат отримує зворотний зв’язок</w:t>
      </w:r>
    </w:p>
    <w:p>
      <w:pPr>
        <w:spacing w:after="80" w:line="300" w:lineRule="auto"/>
        <w:numPr>
          <w:ilvl w:val="0"/>
          <w:numId w:val="11"/>
        </w:numPr>
      </w:pPr>
      <w:r>
        <w:t>Інтерв’ю структуроване</w:t>
      </w:r>
    </w:p>
    <w:p>
      <w:pPr>
        <w:spacing w:after="80" w:line="300" w:lineRule="auto"/>
        <w:numPr>
          <w:ilvl w:val="0"/>
          <w:numId w:val="11"/>
        </w:numPr>
      </w:pPr>
      <w:r>
        <w:t>Рішення фіксується за критеріями</w:t>
      </w:r>
    </w:p>
    <w:p>
      <w:pPr>
        <w:pStyle w:val="Heading2"/>
      </w:pPr>
      <w:r>
        <w:t>Офер</w:t>
      </w:r>
    </w:p>
    <w:p>
      <w:pPr>
        <w:spacing w:after="80" w:line="300" w:lineRule="auto"/>
        <w:numPr>
          <w:ilvl w:val="0"/>
          <w:numId w:val="11"/>
        </w:numPr>
      </w:pPr>
      <w:r>
        <w:t>Мотивація кандидата перевірена</w:t>
      </w:r>
    </w:p>
    <w:p>
      <w:pPr>
        <w:spacing w:after="80" w:line="300" w:lineRule="auto"/>
        <w:numPr>
          <w:ilvl w:val="0"/>
          <w:numId w:val="11"/>
        </w:numPr>
      </w:pPr>
      <w:r>
        <w:t>Ризик контроферу врахований</w:t>
      </w:r>
    </w:p>
    <w:p>
      <w:pPr>
        <w:spacing w:after="80" w:line="300" w:lineRule="auto"/>
        <w:numPr>
          <w:ilvl w:val="0"/>
          <w:numId w:val="11"/>
        </w:numPr>
      </w:pPr>
      <w:r>
        <w:t>Умови оферу погоджені до фінального етапу</w:t>
      </w:r>
    </w:p>
    <w:p>
      <w:pPr>
        <w:pStyle w:val="Heading2"/>
      </w:pPr>
      <w:r>
        <w:t>Адаптація</w:t>
      </w:r>
    </w:p>
    <w:p>
      <w:pPr>
        <w:spacing w:after="80" w:line="300" w:lineRule="auto"/>
        <w:numPr>
          <w:ilvl w:val="0"/>
          <w:numId w:val="11"/>
        </w:numPr>
      </w:pPr>
      <w:r>
        <w:t>Є план першого дня та 30/60/90</w:t>
      </w:r>
    </w:p>
    <w:p>
      <w:pPr>
        <w:spacing w:after="80" w:line="300" w:lineRule="auto"/>
        <w:numPr>
          <w:ilvl w:val="0"/>
          <w:numId w:val="11"/>
        </w:numPr>
      </w:pPr>
      <w:r>
        <w:t>Призначено наставника або керівника адаптації</w:t>
      </w:r>
    </w:p>
    <w:p>
      <w:pPr>
        <w:spacing w:after="80" w:line="300" w:lineRule="auto"/>
        <w:numPr>
          <w:ilvl w:val="0"/>
          <w:numId w:val="11"/>
        </w:numPr>
      </w:pPr>
      <w:r>
        <w:t>Результат випробувального терміну вимірюється</w:t>
      </w:r>
    </w:p>
    <w:p>
      <w:pPr>
        <w:pStyle w:val="Heading1"/>
      </w:pPr>
      <w:r>
        <w:t>Управлінське рішення після перевірки</w:t>
      </w: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20" w:type="dxa"/>
              <w:bottom w:w="100" w:type="dxa"/>
              <w:end w:w="120" w:type="dxa"/>
            </w:tcMar>
            <w:shd w:fill="F4F6F9"/>
          </w:tcPr>
          <w:p>
            <w:pPr>
              <w:spacing w:after="0"/>
            </w:pPr>
            <w:r>
              <w:rPr>
                <w:b/>
                <w:color w:val="167565"/>
              </w:rPr>
              <w:t>Наступний крок</w:t>
              <w:br/>
            </w:r>
            <w:r>
              <w:t>Зафіксуйте три найкритичніші розриви, призначте відповідальних, погодьте строк першого результату та дату контрольної зустрічі.</w:t>
            </w:r>
          </w:p>
        </w:tc>
      </w:tr>
    </w:tbl>
    <w:p>
      <w:pPr>
        <w:pStyle w:val="Heading1"/>
      </w:pPr>
      <w:r>
        <w:t>Контакти</w:t>
      </w:r>
    </w:p>
    <w:p>
      <w:r>
        <w:rPr>
          <w:b/>
        </w:rPr>
        <w:t>Олександр Репницький · CHRO та HR-консультант</w:t>
        <w:br/>
      </w:r>
      <w:r>
        <w:t>hrc@hr-vector.com.ua · +380 95 826 46 12 · https://t.me/Peoplepazle</w:t>
        <w:br/>
        <w:t>https://hr-vector.com.ua/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sz w:val="16"/>
      </w:rPr>
      <w:t>hr-vector.com.ua  ·  hrc@hr-vector.com.ua  ·  +380 95 826 46 12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aption"/>
    </w:pPr>
    <w:r>
      <w:rPr>
        <w:color w:val="647085"/>
        <w:sz w:val="16"/>
      </w:rPr>
      <w:t>HR VECTOR  |  ПРАКТИЧНИЙ HR-КОНСАЛТИНГ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80"/>
      </w:pPr>
    </w:lvl>
  </w:abstractNum>
  <w:num w:numId="10">
    <w:abstractNumId w:val="9"/>
  </w:num>
  <w:abstractNum w:abstractNumId="10">
    <w:multiLevelType w:val="singleLevel"/>
    <w:lvl w:ilvl="0">
      <w:start w:val="1"/>
      <w:numFmt w:val="bullet"/>
      <w:lvlText w:val="☐"/>
      <w:lvlJc w:val="left"/>
      <w:pPr>
        <w:tabs>
          <w:tab w:val="num" w:pos="540"/>
        </w:tabs>
        <w:ind w:left="540" w:hanging="280"/>
      </w:pPr>
    </w:lvl>
  </w:abstract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27304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65FE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65FE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71837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71837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360"/>
    </w:pPr>
    <w:rPr>
      <w:rFonts w:asciiTheme="majorHAnsi" w:eastAsiaTheme="majorEastAsia" w:hAnsiTheme="majorHAnsi" w:cstheme="majorBidi" w:ascii="Calibri" w:hAnsi="Calibri"/>
      <w:b w:val="0"/>
      <w:i/>
      <w:iCs/>
      <w:color w:val="64708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Системний рекрутинг</dc:title>
  <dc:subject>Програма, стратегія та чек-лист HR VECTOR</dc:subject>
  <dc:creator>HR VECTOR</dc:creator>
  <cp:keywords>HR консалтинг, програма, стратегія, чек-лист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